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DF7ED">
      <w:pPr>
        <w:pStyle w:val="2"/>
        <w:keepNext w:val="0"/>
        <w:keepLines w:val="0"/>
        <w:widowControl/>
        <w:suppressLineNumbers w:val="0"/>
        <w:spacing w:before="75" w:beforeAutospacing="0" w:after="75" w:afterAutospacing="0" w:line="420" w:lineRule="atLeast"/>
        <w:ind w:left="0" w:right="0" w:firstLine="0"/>
        <w:jc w:val="center"/>
        <w:rPr>
          <w:rFonts w:hint="eastAsia" w:ascii="宋体" w:hAnsi="宋体" w:eastAsia="宋体" w:cs="宋体"/>
          <w:b w:val="0"/>
          <w:bCs/>
          <w:i w:val="0"/>
          <w:iCs w:val="0"/>
          <w:caps w:val="0"/>
          <w:color w:val="000000"/>
          <w:spacing w:val="0"/>
          <w:sz w:val="18"/>
          <w:szCs w:val="18"/>
        </w:rPr>
      </w:pPr>
      <w:bookmarkStart w:id="0" w:name="_GoBack"/>
      <w:r>
        <w:rPr>
          <w:rStyle w:val="5"/>
          <w:rFonts w:hint="eastAsia" w:ascii="宋体" w:hAnsi="宋体" w:eastAsia="宋体" w:cs="宋体"/>
          <w:b w:val="0"/>
          <w:bCs/>
          <w:i w:val="0"/>
          <w:iCs w:val="0"/>
          <w:caps w:val="0"/>
          <w:color w:val="000000"/>
          <w:spacing w:val="0"/>
          <w:sz w:val="18"/>
          <w:szCs w:val="18"/>
        </w:rPr>
        <w:t>科技部 财政部关于印发《国家重点研发计划管理暂行办法》的通知</w:t>
      </w:r>
    </w:p>
    <w:bookmarkEnd w:id="0"/>
    <w:p w14:paraId="2C79FEE7">
      <w:pPr>
        <w:pStyle w:val="2"/>
        <w:keepNext w:val="0"/>
        <w:keepLines w:val="0"/>
        <w:widowControl/>
        <w:suppressLineNumbers w:val="0"/>
        <w:spacing w:before="75" w:beforeAutospacing="0" w:after="75" w:afterAutospacing="0" w:line="420" w:lineRule="atLeast"/>
        <w:ind w:left="0" w:right="0" w:firstLine="0"/>
        <w:jc w:val="center"/>
        <w:rPr>
          <w:rFonts w:hint="eastAsia" w:ascii="宋体" w:hAnsi="宋体" w:eastAsia="宋体" w:cs="宋体"/>
          <w:b w:val="0"/>
          <w:bCs/>
          <w:sz w:val="18"/>
          <w:szCs w:val="18"/>
        </w:rPr>
      </w:pPr>
      <w:r>
        <w:rPr>
          <w:rStyle w:val="5"/>
          <w:rFonts w:hint="eastAsia" w:ascii="宋体" w:hAnsi="宋体" w:eastAsia="宋体" w:cs="宋体"/>
          <w:b w:val="0"/>
          <w:bCs/>
          <w:i w:val="0"/>
          <w:iCs w:val="0"/>
          <w:caps w:val="0"/>
          <w:color w:val="000000"/>
          <w:spacing w:val="0"/>
          <w:sz w:val="18"/>
          <w:szCs w:val="18"/>
        </w:rPr>
        <w:t>国科发资〔2024〕28号</w:t>
      </w:r>
    </w:p>
    <w:p w14:paraId="7E92EA3A">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sz w:val="18"/>
          <w:szCs w:val="18"/>
        </w:rPr>
      </w:pPr>
      <w:r>
        <w:rPr>
          <w:rFonts w:hint="eastAsia" w:ascii="宋体" w:hAnsi="宋体" w:eastAsia="宋体" w:cs="宋体"/>
          <w:b w:val="0"/>
          <w:bCs/>
          <w:i w:val="0"/>
          <w:iCs w:val="0"/>
          <w:caps w:val="0"/>
          <w:color w:val="000000"/>
          <w:spacing w:val="0"/>
          <w:sz w:val="18"/>
          <w:szCs w:val="18"/>
        </w:rPr>
        <w:t>国务院有关部委、有关直属机构，各省、自治区、直辖市及计划单列市科技厅（委、局）、财政厅（局），新疆生产建设兵团科技局、财务局，有关单位：</w:t>
      </w:r>
    </w:p>
    <w:p w14:paraId="6A589E9E">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sz w:val="18"/>
          <w:szCs w:val="18"/>
        </w:rPr>
      </w:pPr>
      <w:r>
        <w:rPr>
          <w:rFonts w:hint="eastAsia" w:ascii="宋体" w:hAnsi="宋体" w:eastAsia="宋体" w:cs="宋体"/>
          <w:b w:val="0"/>
          <w:bCs/>
          <w:i w:val="0"/>
          <w:iCs w:val="0"/>
          <w:caps w:val="0"/>
          <w:color w:val="000000"/>
          <w:spacing w:val="0"/>
          <w:sz w:val="18"/>
          <w:szCs w:val="18"/>
        </w:rPr>
        <w:t>根据党中央、国务院关于科技计划管理改革的有关要求，为规范国家重点研发计划管理，保障国家重点研发计划组织实施，现将修订后的《国家重点研发计划管理暂行办法》印发给你们，请遵照执行。</w:t>
      </w:r>
    </w:p>
    <w:p w14:paraId="3739876C">
      <w:pPr>
        <w:pStyle w:val="2"/>
        <w:keepNext w:val="0"/>
        <w:keepLines w:val="0"/>
        <w:widowControl/>
        <w:suppressLineNumbers w:val="0"/>
        <w:spacing w:before="75" w:beforeAutospacing="0" w:after="75" w:afterAutospacing="0" w:line="420" w:lineRule="atLeast"/>
        <w:ind w:left="0" w:right="0" w:firstLine="420"/>
        <w:jc w:val="right"/>
        <w:rPr>
          <w:rFonts w:hint="eastAsia" w:ascii="宋体" w:hAnsi="宋体" w:eastAsia="宋体" w:cs="宋体"/>
          <w:b w:val="0"/>
          <w:bCs/>
          <w:sz w:val="18"/>
          <w:szCs w:val="18"/>
        </w:rPr>
      </w:pPr>
      <w:r>
        <w:rPr>
          <w:rFonts w:hint="eastAsia" w:ascii="宋体" w:hAnsi="宋体" w:eastAsia="宋体" w:cs="宋体"/>
          <w:b w:val="0"/>
          <w:bCs/>
          <w:i w:val="0"/>
          <w:iCs w:val="0"/>
          <w:caps w:val="0"/>
          <w:color w:val="000000"/>
          <w:spacing w:val="0"/>
          <w:sz w:val="18"/>
          <w:szCs w:val="18"/>
        </w:rPr>
        <w:t>科 技 部　　财 政 部</w:t>
      </w:r>
    </w:p>
    <w:p w14:paraId="0CF70F89">
      <w:pPr>
        <w:pStyle w:val="2"/>
        <w:keepNext w:val="0"/>
        <w:keepLines w:val="0"/>
        <w:widowControl/>
        <w:suppressLineNumbers w:val="0"/>
        <w:spacing w:before="75" w:beforeAutospacing="0" w:after="75" w:afterAutospacing="0" w:line="420" w:lineRule="atLeast"/>
        <w:ind w:left="0" w:right="0" w:firstLine="420"/>
        <w:jc w:val="right"/>
        <w:rPr>
          <w:rFonts w:hint="eastAsia" w:ascii="宋体" w:hAnsi="宋体" w:eastAsia="宋体" w:cs="宋体"/>
          <w:b w:val="0"/>
          <w:bCs/>
          <w:sz w:val="18"/>
          <w:szCs w:val="18"/>
        </w:rPr>
      </w:pPr>
      <w:r>
        <w:rPr>
          <w:rFonts w:hint="eastAsia" w:ascii="宋体" w:hAnsi="宋体" w:eastAsia="宋体" w:cs="宋体"/>
          <w:b w:val="0"/>
          <w:bCs/>
          <w:i w:val="0"/>
          <w:iCs w:val="0"/>
          <w:caps w:val="0"/>
          <w:color w:val="000000"/>
          <w:spacing w:val="0"/>
          <w:sz w:val="18"/>
          <w:szCs w:val="18"/>
        </w:rPr>
        <w:t>​2024年3月31日</w:t>
      </w:r>
    </w:p>
    <w:p w14:paraId="0D1BED42">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sz w:val="18"/>
          <w:szCs w:val="18"/>
        </w:rPr>
      </w:pPr>
      <w:r>
        <w:rPr>
          <w:rFonts w:hint="eastAsia" w:ascii="宋体" w:hAnsi="宋体" w:eastAsia="宋体" w:cs="宋体"/>
          <w:b w:val="0"/>
          <w:bCs/>
          <w:i w:val="0"/>
          <w:iCs w:val="0"/>
          <w:caps w:val="0"/>
          <w:color w:val="000000"/>
          <w:spacing w:val="0"/>
          <w:sz w:val="18"/>
          <w:szCs w:val="18"/>
        </w:rPr>
        <w:t>（此件主动公开）</w:t>
      </w:r>
    </w:p>
    <w:p w14:paraId="574C3E81">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sz w:val="18"/>
          <w:szCs w:val="18"/>
        </w:rPr>
      </w:pPr>
    </w:p>
    <w:p w14:paraId="6987D47F">
      <w:pPr>
        <w:pStyle w:val="2"/>
        <w:keepNext w:val="0"/>
        <w:keepLines w:val="0"/>
        <w:widowControl/>
        <w:suppressLineNumbers w:val="0"/>
        <w:spacing w:before="75" w:beforeAutospacing="0" w:after="75" w:afterAutospacing="0" w:line="420" w:lineRule="atLeast"/>
        <w:ind w:left="0" w:right="0" w:firstLine="0"/>
        <w:jc w:val="center"/>
        <w:rPr>
          <w:rFonts w:hint="eastAsia" w:ascii="宋体" w:hAnsi="宋体" w:eastAsia="宋体" w:cs="宋体"/>
          <w:b w:val="0"/>
          <w:bCs/>
          <w:i w:val="0"/>
          <w:iCs w:val="0"/>
          <w:caps w:val="0"/>
          <w:color w:val="000000"/>
          <w:spacing w:val="0"/>
          <w:sz w:val="18"/>
          <w:szCs w:val="18"/>
        </w:rPr>
      </w:pPr>
      <w:r>
        <w:rPr>
          <w:rStyle w:val="5"/>
          <w:rFonts w:hint="eastAsia" w:ascii="宋体" w:hAnsi="宋体" w:eastAsia="宋体" w:cs="宋体"/>
          <w:b w:val="0"/>
          <w:bCs/>
          <w:i w:val="0"/>
          <w:iCs w:val="0"/>
          <w:caps w:val="0"/>
          <w:color w:val="000000"/>
          <w:spacing w:val="0"/>
          <w:sz w:val="18"/>
          <w:szCs w:val="18"/>
        </w:rPr>
        <w:t>国家重点研发计划管理暂行办法</w:t>
      </w:r>
    </w:p>
    <w:p w14:paraId="71867EE2">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Style w:val="5"/>
          <w:rFonts w:hint="eastAsia" w:ascii="宋体" w:hAnsi="宋体" w:eastAsia="宋体" w:cs="宋体"/>
          <w:b w:val="0"/>
          <w:bCs/>
          <w:i w:val="0"/>
          <w:iCs w:val="0"/>
          <w:caps w:val="0"/>
          <w:color w:val="000000"/>
          <w:spacing w:val="0"/>
          <w:sz w:val="18"/>
          <w:szCs w:val="18"/>
        </w:rPr>
        <w:t>第一章 总 则</w:t>
      </w:r>
    </w:p>
    <w:p w14:paraId="551EB606">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第一条 为深入学习贯彻习近平新时代中国特色社会主义思想，落实党中央、国务院的决策部署，保证国家重点研发计划的顺利实施，实现高效、科学、规范和公正管理，按照国家科技重大项目立项管理等制度要求，制定本办法。</w:t>
      </w:r>
    </w:p>
    <w:p w14:paraId="550B24AE">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第二条 国家重点研发计划坚持面向世界科技前沿、面向经济主战场、面向国家重大需求、面向人民生命健康，重点资助事关国计民生的重大社会公益性研究，事关产业核心竞争力、整体自主创新能力和国家安全的战略性、基础性、前瞻性重大科学问题、关键共性技术和产品研发，以及重大国际科技合作等，加强跨部门、跨行业、跨区域研发布局和协同创新，为国民经济和社会发展各主要领域提供持续性的支撑和引领。</w:t>
      </w:r>
    </w:p>
    <w:p w14:paraId="2F698CE7">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第三条 国家重点研发计划按照重点专项、项目分层次管理。重点专项是国家重点研发计划组织实施的载体，聚焦国家重大战略任务，坚持目标导向，可从基础研究、技术创新到成果转化、应用示范进行全链条创新设计、一体化组织实施。项目是重点专项组织实施的基本单元，应服务于重点专项目标，可根据需要下设一定数量的课题。</w:t>
      </w:r>
    </w:p>
    <w:p w14:paraId="6F255377">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第四条 科技部负责重点专项动议征集凝练、总体布局、关键节点考核、监督评估和总体验收等。主责单位负责重点专项组织实施，对专项实施绩效负总责，委托并指导专业机构做好项目管理，根据实施需要建立跨部门协调机制。专业机构受主责单位委托，承担项目申报受理、立项评审、过程管理、监督检查、综合绩效评价等具体工作，在项目管理方面向主责单位直接负责。项目承担单位负责项目的具体组织实施工作，强化法人责任。</w:t>
      </w:r>
    </w:p>
    <w:p w14:paraId="1C7F10F7">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第五条 国家重点研发计划组织实施遵循以下原则：</w:t>
      </w:r>
    </w:p>
    <w:p w14:paraId="132E74C3">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需求导向、动态部署。瞄准国家目标，从各行业各领域重大现实紧迫需求出发，加强事关长远发展的战略前瞻布局，凝练提出亟待突破的科技瓶颈和问题，动态部署重点专项；对于突发、紧急的国家科技需求，建立快速设立专项的响应机制。</w:t>
      </w:r>
    </w:p>
    <w:p w14:paraId="5DFA9C8A">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充分授权、压实责任。重点专项组织实施向主责单位充分授权，发挥主责单位在行业需求凝练、政策标准制定、应用场景构建等方面的优势；建立权责一致的运行管理机制，压实各环节主体责任，确保专项的实施成效。</w:t>
      </w:r>
    </w:p>
    <w:p w14:paraId="4EE0DE8B">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开放创新、协同攻关。放眼全国遴选优势科研团队，充分发挥国家战略科技力量的骨干作用，开展协同攻关；突出企业科技创新主体作用，促进产学研用深度融合；营造良好科技创新环境，充分激发创新活力。</w:t>
      </w:r>
    </w:p>
    <w:p w14:paraId="3B9CF7C6">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——目标管理、加快应用。围绕拟解决重大问题，明确任务目标，以重大标志性成果为牵引，实施全过程目标管理；加强关键节点考核，强化科技成果的“实战性”，加快形成现实生产力和产业竞争力。</w:t>
      </w:r>
    </w:p>
    <w:p w14:paraId="3A5BF32D">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第六条 国家重点研发计划全流程纳入统一的国家科技管理信息系统，包括指南发布、评审立项、资金使用、过程管理、综合绩效评价、成果转化应用等。落实国家科技报告、科学数据汇交和科技成果汇交制度，做好有关档案的整理、保存和归档。　</w:t>
      </w:r>
    </w:p>
    <w:p w14:paraId="6E9F0243">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Style w:val="5"/>
          <w:rFonts w:hint="eastAsia" w:ascii="宋体" w:hAnsi="宋体" w:eastAsia="宋体" w:cs="宋体"/>
          <w:b w:val="0"/>
          <w:bCs/>
          <w:i w:val="0"/>
          <w:iCs w:val="0"/>
          <w:caps w:val="0"/>
          <w:color w:val="000000"/>
          <w:spacing w:val="0"/>
          <w:sz w:val="18"/>
          <w:szCs w:val="18"/>
        </w:rPr>
        <w:t>第二章 重点专项设立</w:t>
      </w:r>
    </w:p>
    <w:p w14:paraId="7249E894">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第七条 有关部门、机构、地方、企业等研究提出重点专项动议。科技部按照立项管理规程要求组织论证和综合平衡后，形成拟立项建议（含专项名称、主责单位、总体目标、实施周期等），按程序报批。对于需求紧迫的选题动议，按照快速响应、灵活部署的要求，采取“一事一议”的方式加快启动。</w:t>
      </w:r>
    </w:p>
    <w:p w14:paraId="1803E9E6">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第八条 对于批准实施的重点专项，主责单位牵头编制重点专项实施方案（含概算、专业机构），报科技部、财政部。</w:t>
      </w:r>
    </w:p>
    <w:p w14:paraId="751487E4">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实施方案要围绕国家需求，聚焦专项拟解决的重大科学问题或要突破的关键共性技术，梳理形成问题清单和目标清单，合理部署基础研究、重大关键共性技术和成果转化等研发阶段的主要任务，并明确任务部署进度安排、预期重大标志性成果及考核要求，细化资源配置、配套保障、责任分工、成果转化及推广应用等举措。</w:t>
      </w:r>
    </w:p>
    <w:p w14:paraId="6F3792B5">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第九条 科技部、财政部组织对重点专项实施方案进行综合论证，着力提升专项目标指标先进性、任务部署科学性、组织实施可行性、资源配置合理性，优化考核方式、配套保障和管理举措，确保专项实施风险可控。实施方案经国家科技咨询委咨询评议后，按程序报批。</w:t>
      </w:r>
    </w:p>
    <w:p w14:paraId="2BB8DCCA">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第十条 科技部向主责单位批复实施方案，作为重点专项任务分解、项目申报指南编制、项目安排、组织实施、监督检查、评估问效的基本依据。</w:t>
      </w:r>
    </w:p>
    <w:p w14:paraId="7E4751FE">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第十一条 根据任务特点和需要，重点专项可采取部门（机构）负责制、地方负责制、总承单位负责制、业主单位负责制等多种模式。对于采取部门负责制的重点专项，主责单位应委托专业机构开展具体的项目管理，并与专业机构签订专项管理任务委托协议，明确委托的具体事项和管理要求；对于采取其他模式的重点专项，根据专项实施需要，参照有关要求建立健全项目过程管理工作机制。</w:t>
      </w:r>
    </w:p>
    <w:p w14:paraId="4B5B6754">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Style w:val="5"/>
          <w:rFonts w:hint="eastAsia" w:ascii="宋体" w:hAnsi="宋体" w:eastAsia="宋体" w:cs="宋体"/>
          <w:b w:val="0"/>
          <w:bCs/>
          <w:i w:val="0"/>
          <w:iCs w:val="0"/>
          <w:caps w:val="0"/>
          <w:color w:val="000000"/>
          <w:spacing w:val="0"/>
          <w:sz w:val="18"/>
          <w:szCs w:val="18"/>
        </w:rPr>
        <w:t>第三章 项目组织实施管理</w:t>
      </w:r>
    </w:p>
    <w:p w14:paraId="1661EA0B">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第十二条 主责单位会同相关部门（单位）组织编制重点专项的年度项目申报指南。指南应充分遵循实施方案提出的总体目标和任务设置，避免交叉重复，明确形式审查条件和项目遴选方式。项目应相对独立完整，体量适度，设立可考核可评估的具体指标。主责单位依托国家科技管理信息系统查重后发布指南，并合理安排发布时间。</w:t>
      </w:r>
    </w:p>
    <w:p w14:paraId="634CE7A4">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第十三条 主责单位要结合专项特点和实施需要，加强组织实施机制创新，通过竞争择优、定向委托、分阶段滚动支持等多种项目遴选方式，在全国范围内择优确定项目承担单位，可采取“揭榜挂帅”、“赛马制”、“链主制”、青年科学家项目、长周期项目等组织模式，通过第三方测试、真实应用场景考核等方式，推动产学研用深度融合，提升项目组织实施绩效。</w:t>
      </w:r>
    </w:p>
    <w:p w14:paraId="2B835104">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第十四条 项目承担单位原则上为在中国大陆境内注册满1年的独立法人单位，应具有较强科研能力和条件，诚信状况良好；项目（课题）负责人原则上不超过60周岁，符合《科技部办公厅 财政部办公厅 自然科学基金委办公室关于进一步加强统筹国家科技计划项目立项管理工作的通知》有关限项要求。</w:t>
      </w:r>
    </w:p>
    <w:p w14:paraId="3BB11597">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第十五条 专业机构根据指南要求开展项目申报受理，加强科研诚信审核，采用网络评审、通讯评审、会议评审、同场竞技、现场考察评估等方式组织评审。</w:t>
      </w:r>
    </w:p>
    <w:p w14:paraId="3E7AEE5C">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第十六条 项目评审专家应是在相关领域具有丰富经验、客观公正的高水平专家，原则上从国家科技专家库中选取，并实行回避制度。通过事前诚信审查、事中提醒监督、事后抽查评价等方式，从严管理和使用评审专家。</w:t>
      </w:r>
    </w:p>
    <w:p w14:paraId="5169E71B">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第十七条 主责单位负责立项批复，并组织专业机构与项目承担单位签订项目任务书；对于保密项目，任务书中应包括保密协议。项目立项后，应按任务书约定、项目实施进展和任务完成情况及时向项目承担单位拨款。</w:t>
      </w:r>
    </w:p>
    <w:p w14:paraId="73D3F0C1">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第十八条 项目承担单位应根据项目任务书确定的目标任务和分工安排，按进度高质量完成相关研发任务。项目实施中，主责单位应指导专业机构严格按照任务书要求，加强技术就绪度管理、“里程碑”节点考核等，做好项目过程管理。</w:t>
      </w:r>
    </w:p>
    <w:p w14:paraId="55FF77A5">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第十九条 项目实施中须作出重大调整的，由主责单位会同专业机构研究批复调整；对于因非正当理由致使项目撤销或终止的，应调查核实后严肃处理并逐级问责，对科研失信和违规行为，纳入科研诚信记录。</w:t>
      </w:r>
    </w:p>
    <w:p w14:paraId="62B56382">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第二十条 项目执行期满6个月内，主责单位组织专业机构依据项目任务书和有关要求分类开展综合绩效评价，由主责单位向项目承担单位下达综合绩效评价结论。项目综合绩效评价结论分为通过、未通过两类。项目综合绩效评价应突出目标导向、成果导向，注重核心目标和代表性成果，严把项目验收关。</w:t>
      </w:r>
    </w:p>
    <w:p w14:paraId="6DC83AC1">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第二十一条 主责单位应充分发挥相关领域、行业、产业优势，为项目成果转化应用创造良好条件，协调调动各方面政策和资源，通过场景构建、政府采购、金融支持等方式，加快推动项目成果转化应用和产品迭代升级。科技部会同主责单位在项目验收3年内组织对成果转化应用情况进行跟踪评价。</w:t>
      </w:r>
    </w:p>
    <w:p w14:paraId="04254E14">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第二十二条 专业机构应持续加强专业化能力建设，加强相关领域科技发展跟踪研判；根据管理制度和主责单位要求，制定适合专项特点的管理工作方案，做好项目管理具体工作，提升项目管理质量，促进重大成果产出和应用推广；加强对参与项目管理活动各类专家的指导与监督，促进项目管理的公平公正。</w:t>
      </w:r>
    </w:p>
    <w:p w14:paraId="0C79F879">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Style w:val="5"/>
          <w:rFonts w:hint="eastAsia" w:ascii="宋体" w:hAnsi="宋体" w:eastAsia="宋体" w:cs="宋体"/>
          <w:b w:val="0"/>
          <w:bCs/>
          <w:i w:val="0"/>
          <w:iCs w:val="0"/>
          <w:caps w:val="0"/>
          <w:color w:val="000000"/>
          <w:spacing w:val="0"/>
          <w:sz w:val="18"/>
          <w:szCs w:val="18"/>
        </w:rPr>
        <w:t>第四章 重点专项管理和总结验收</w:t>
      </w:r>
    </w:p>
    <w:p w14:paraId="021DB945">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第二十三条 主责单位会同专业机构按年度编制重点专项执行情况报告，于每年12月底前报送科技部；执行期5年及以上的重点专项，于专项实施中期年份报送中期执行情况报告。</w:t>
      </w:r>
    </w:p>
    <w:p w14:paraId="394C1252">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第二十四条 重点专项执行期间，由于形势变化或实施需要，需对专项主要任务（含概算）进行重大调整或终止专项执行的，主责单位报科技部、财政部审核，按程序报批。</w:t>
      </w:r>
    </w:p>
    <w:p w14:paraId="4D471BDB">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第二十五条 重点专项执行期结束后，主责单位会同专业机构对重点专项实施情况进行总结，于专项执行期结束6个月内形成重点专项总结报告报科技部。</w:t>
      </w:r>
    </w:p>
    <w:p w14:paraId="14D713B8">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第二十六条 科技部会同财政部组织开展重点专项总体验收工作，对重点专项的目标实现程度、组织管理水平、支撑经济社会发展效果与影响等作出全面评价，形成重点专项总体验收评价报告，按程序上报。重点专项总体验收评价情况将作为专项滚动实施、新设专项遴选主责单位和专业机构等方面的重要参考。</w:t>
      </w:r>
    </w:p>
    <w:p w14:paraId="17C89809">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专项验收坚持成果导向，重点突出对重大标志性成果及成果转化应用情况等方面的评价，采取测试平台验证、真实应用场景考核、用户单位考核等方式，强化验收评价的客观性、针对性和科学性。</w:t>
      </w:r>
    </w:p>
    <w:p w14:paraId="33D6A971">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第二十七条 主责单位应加强重点专项的保密制度建设，完善保密工作责任体系，对涉及科技敏感信息和国家秘密的专项项目及其成果，应按有关规定执行并严格管理，分级分类做好信息安全管理，确保国家秘密安全。</w:t>
      </w:r>
    </w:p>
    <w:p w14:paraId="7B416C9A">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第二十八条 重点专项形成的知识产权归属、使用和转移，按照国家有关法律、法规和政策执行。为了国家安全、国家利益和重大社会公共利益的需要，国家可许可他人有偿实施或者无偿实施项目形成的知识产权。项目形成的研究成果，应标注“国家重点研发计划资助”字样及项目编号，英文标注：“National Key R&amp;D Program of China”。</w:t>
      </w:r>
    </w:p>
    <w:p w14:paraId="0C43AA82">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Style w:val="5"/>
          <w:rFonts w:hint="eastAsia" w:ascii="宋体" w:hAnsi="宋体" w:eastAsia="宋体" w:cs="宋体"/>
          <w:b w:val="0"/>
          <w:bCs/>
          <w:i w:val="0"/>
          <w:iCs w:val="0"/>
          <w:caps w:val="0"/>
          <w:color w:val="000000"/>
          <w:spacing w:val="0"/>
          <w:sz w:val="18"/>
          <w:szCs w:val="18"/>
        </w:rPr>
        <w:t>第五章 多元化投入与资金管理</w:t>
      </w:r>
    </w:p>
    <w:p w14:paraId="03F8696B">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第二十九条 坚持多元化原则筹措资金，在中央财政资金支持的基础上，加强央地联动、政企联动，引导地方、企业、金融资本及其他社会资金共同投入，支持相关部门和机构加强对承担相关项目的科技型企业全生命周期、全链条科技金融服务。</w:t>
      </w:r>
    </w:p>
    <w:p w14:paraId="210A8325">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第三十条 按照“放管结合、权责对等”的原则，采取简化预算编制、下放预算调剂权、实行“包干制”“负面清单”等多种方式，扩大科研经费管理自主权，减轻科研人员事务性负担，激发创新活力。</w:t>
      </w:r>
    </w:p>
    <w:p w14:paraId="60A3C43C">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第三十一条 国家重点研发计划通过前补助、后补助、“里程碑”拨款等方式对具体项目分类支持。中央财政资金的安排使用，要严格执行国家预算管理及财政国库管理的有关规定，全面实施预算绩效管理，实行专账管理，专款专用，建立覆盖资金管理使用全过程的资金监督机制，提高资金使用效益。项目经费使用中涉及政府采购的，应当按政府采购法律制度规定执行。</w:t>
      </w:r>
    </w:p>
    <w:p w14:paraId="768E9032">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国家重点研发计划资金管理办法由财政部会同有关部门制定。</w:t>
      </w:r>
    </w:p>
    <w:p w14:paraId="7A20F937">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Style w:val="5"/>
          <w:rFonts w:hint="eastAsia" w:ascii="宋体" w:hAnsi="宋体" w:eastAsia="宋体" w:cs="宋体"/>
          <w:b w:val="0"/>
          <w:bCs/>
          <w:i w:val="0"/>
          <w:iCs w:val="0"/>
          <w:caps w:val="0"/>
          <w:color w:val="000000"/>
          <w:spacing w:val="0"/>
          <w:sz w:val="18"/>
          <w:szCs w:val="18"/>
        </w:rPr>
        <w:t>第六章 监督与评估</w:t>
      </w:r>
    </w:p>
    <w:p w14:paraId="286AB946">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第三十二条 国家重点研发计划建立全过程、多层次、嵌入式的监督评估体系。监督评估工作应以重点专项实施方案、项目申报指南、立项批复、任务书、协议等为依据，按照责权一致的原则组织开展。</w:t>
      </w:r>
    </w:p>
    <w:p w14:paraId="47648D1C">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第三十三条 科技部、财政部通过对重点专项的关键节点考核、随机抽查等方式，对专项组织实施情况和实施主体履职尽责情况进行监督评估，采用信息化手段，减轻科研人员负担。监督评估结论和意见及时向主责单位、专业机构进行反馈，重大事项按程序上报。</w:t>
      </w:r>
    </w:p>
    <w:p w14:paraId="138FDF3A">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第三十四条 主责单位对重点专项实施过程和进展进行监督评估，对受委托专业机构管理工作进行监督。专业机构对项目执行情况和项目承担单位开展日常监督。主责单位会同专业机构建立公众参与监督的工作机制，加强与审计监督、第三方监督等外部监督协同，并落实科技伦理监管制度。</w:t>
      </w:r>
    </w:p>
    <w:p w14:paraId="00BD9C1A">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第三十五条 建立创新激励机制和责任追究机制。对在专项组织实施过程中作出重要贡献的单位、团队和个人，按照国家有关规定予以表彰奖励。对执行不力的，实行动态调整，并倒查各主体责任，逐级问责。对科研失信和违规行为，视情况纳入科研诚信严重失信行为数据库，依法依规严肃处理。涉嫌违纪违法的，移送有关部门。</w:t>
      </w:r>
    </w:p>
    <w:p w14:paraId="40C2301B">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Style w:val="5"/>
          <w:rFonts w:hint="eastAsia" w:ascii="宋体" w:hAnsi="宋体" w:eastAsia="宋体" w:cs="宋体"/>
          <w:b w:val="0"/>
          <w:bCs/>
          <w:i w:val="0"/>
          <w:iCs w:val="0"/>
          <w:caps w:val="0"/>
          <w:color w:val="000000"/>
          <w:spacing w:val="0"/>
          <w:sz w:val="18"/>
          <w:szCs w:val="18"/>
        </w:rPr>
        <w:t>第七章 附 则</w:t>
      </w:r>
    </w:p>
    <w:p w14:paraId="2FAE27FB">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第三十六条 各主责单位依据本办法制定实施细则，发布前报科技部、财政部进行制度一致性审查并备案。管理要求另有规定的重点专项，按有关规定执行。</w:t>
      </w:r>
    </w:p>
    <w:p w14:paraId="2876D714">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第三十七条 对于地方、单位、企业等聚焦国家重大战略需求布局的研发任务，可按有关程序纳入国家重点研发计划管理。具体办法另行规定。</w:t>
      </w:r>
    </w:p>
    <w:p w14:paraId="1656B1E7">
      <w:pPr>
        <w:pStyle w:val="2"/>
        <w:keepNext w:val="0"/>
        <w:keepLines w:val="0"/>
        <w:widowControl/>
        <w:suppressLineNumbers w:val="0"/>
        <w:spacing w:before="75" w:beforeAutospacing="0" w:after="75" w:afterAutospacing="0" w:line="420" w:lineRule="atLeast"/>
        <w:ind w:left="0" w:right="0" w:firstLine="420"/>
        <w:jc w:val="both"/>
        <w:rPr>
          <w:rFonts w:hint="eastAsia" w:ascii="宋体" w:hAnsi="宋体" w:eastAsia="宋体" w:cs="宋体"/>
          <w:b w:val="0"/>
          <w:bCs/>
          <w:i w:val="0"/>
          <w:iCs w:val="0"/>
          <w:caps w:val="0"/>
          <w:color w:val="000000"/>
          <w:spacing w:val="0"/>
          <w:sz w:val="18"/>
          <w:szCs w:val="18"/>
        </w:rPr>
      </w:pPr>
      <w:r>
        <w:rPr>
          <w:rFonts w:hint="eastAsia" w:ascii="宋体" w:hAnsi="宋体" w:eastAsia="宋体" w:cs="宋体"/>
          <w:b w:val="0"/>
          <w:bCs/>
          <w:i w:val="0"/>
          <w:iCs w:val="0"/>
          <w:caps w:val="0"/>
          <w:color w:val="000000"/>
          <w:spacing w:val="0"/>
          <w:sz w:val="18"/>
          <w:szCs w:val="18"/>
        </w:rPr>
        <w:t>本办法自发布之日起施行。《国家重点研发计划管理暂行办法》（国科发资〔2017〕152号）同时废止。</w:t>
      </w:r>
    </w:p>
    <w:p w14:paraId="002FBB52">
      <w:pPr>
        <w:rPr>
          <w:rFonts w:hint="eastAsia" w:ascii="宋体" w:hAnsi="宋体" w:eastAsia="宋体" w:cs="宋体"/>
          <w:b w:val="0"/>
          <w:bCs/>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汉标寻果果体"/>
    <w:panose1 w:val="00000000000000000000"/>
    <w:charset w:val="00"/>
    <w:family w:val="auto"/>
    <w:pitch w:val="default"/>
    <w:sig w:usb0="00000000" w:usb1="00000000" w:usb2="00000000" w:usb3="00000000" w:csb0="00000000" w:csb1="00000000"/>
  </w:font>
  <w:font w:name="汉标寻果果体">
    <w:panose1 w:val="02000500000000000000"/>
    <w:charset w:val="80"/>
    <w:family w:val="auto"/>
    <w:pitch w:val="default"/>
    <w:sig w:usb0="800002BF" w:usb1="084F6CF8" w:usb2="00000012" w:usb3="00000000" w:csb0="0002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Y2RhNjZhNzdkN2VjMmY0YmIzNDhiODg4YjI2MzAifQ=="/>
  </w:docVars>
  <w:rsids>
    <w:rsidRoot w:val="150C5091"/>
    <w:rsid w:val="150C5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2024-11-12T02:49:00Z</dcterms:created>
  <dc:creator>年糕麻麻</dc:creator>
  <cp:lastModifiedBy>年糕麻麻</cp:lastModifiedBy>
  <dcterms:modified xsi:type="dcterms:W3CDTF">2024-11-12T02:50:11Z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7CBB818D89B44BB2ABBBF3EE72DBD3AB_11</vt:lpwstr>
  </property>
</Properties>
</file>